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12"/>
        <w:tblW w:w="9721" w:type="dxa"/>
        <w:tblInd w:w="-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722"/>
        <w:gridCol w:w="4999"/>
      </w:tblGrid>
      <w:tr>
        <w:tblPrEx/>
        <w:trPr>
          <w:trHeight w:val="2546"/>
        </w:trPr>
        <w:tc>
          <w:tcPr>
            <w:tcW w:w="4722" w:type="dxa"/>
            <w:textDirection w:val="lrTb"/>
            <w:noWrap w:val="false"/>
          </w:tcPr>
          <w:tbl>
            <w:tblPr>
              <w:tblpPr w:horzAnchor="margin" w:tblpXSpec="left" w:vertAnchor="text" w:tblpY="241" w:leftFromText="180" w:topFromText="0" w:rightFromText="180" w:bottomFromText="0"/>
              <w:tblW w:w="4722" w:type="dxa"/>
              <w:tblLayout w:type="fixed"/>
              <w:tblLook w:val="04A0" w:firstRow="1" w:lastRow="0" w:firstColumn="1" w:lastColumn="0" w:noHBand="0" w:noVBand="1"/>
            </w:tblPr>
            <w:tblGrid>
              <w:gridCol w:w="4722"/>
            </w:tblGrid>
            <w:tr>
              <w:tblPrEx/>
              <w:trPr>
                <w:trHeight w:val="2468"/>
              </w:trPr>
              <w:tc>
                <w:tcPr>
                  <w:shd w:val="clear" w:color="auto" w:fill="auto"/>
                  <w:tcW w:w="4722" w:type="dxa"/>
                  <w:textDirection w:val="lrTb"/>
                  <w:noWrap w:val="false"/>
                </w:tcPr>
                <w:p>
                  <w:pPr>
                    <w:ind w:left="-113" w:right="-113"/>
                    <w:jc w:val="center"/>
                    <w:pageBreakBefore/>
                    <w:spacing w:after="0" w:line="280" w:lineRule="exact"/>
                    <w:rPr>
                      <w:rFonts w:ascii="Times New Roman" w:hAnsi="Times New Roman" w:eastAsia="Calibri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Calibri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eastAsia="Calibri" w:cs="Times New Roman"/>
                      <w:color w:val="000000"/>
                      <w:sz w:val="24"/>
                      <w:szCs w:val="24"/>
                    </w:rPr>
                  </w:r>
                </w:p>
                <w:p>
                  <w:pPr>
                    <w:pStyle w:val="735"/>
                    <w:ind w:firstLine="176"/>
                    <w:jc w:val="left"/>
                    <w:spacing w:before="240" w:after="120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r>
                </w:p>
              </w:tc>
            </w:tr>
          </w:tbl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4999" w:type="dxa"/>
            <w:textDirection w:val="lrTb"/>
            <w:noWrap w:val="false"/>
          </w:tcPr>
          <w:p>
            <w:pPr>
              <w:pStyle w:val="713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r>
          </w:p>
          <w:p>
            <w:pPr>
              <w:pStyle w:val="713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r>
          </w:p>
          <w:p>
            <w:pPr>
              <w:pStyle w:val="713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r>
          </w:p>
        </w:tc>
      </w:tr>
    </w:tbl>
    <w:p>
      <w:pPr>
        <w:ind w:left="4956" w:firstLine="708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spacing w:after="0" w:line="240" w:lineRule="auto"/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  <w:r>
        <w:rPr>
          <w:rFonts w:ascii="Times New Roman" w:hAnsi="Times New Roman" w:cs="Times New Roman"/>
          <w:color w:val="0563c1" w:themeColor="hyperlink"/>
          <w:sz w:val="16"/>
          <w:szCs w:val="16"/>
          <w:u w:val="single"/>
        </w:rPr>
      </w:r>
    </w:p>
    <w:p>
      <w:pPr>
        <w:pStyle w:val="7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pPr>
      <w:r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r>
      <w:r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аседание 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антитеррористической комиссии 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сентября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426" w:right="-1" w:firstLine="71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.0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в здании 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Всеволожского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по адресу: Ленинградская обл., г. Всеволожск, </w:t>
      </w:r>
      <w:r>
        <w:rPr>
          <w:rFonts w:ascii="Times New Roman" w:hAnsi="Times New Roman" w:cs="Times New Roman"/>
          <w:sz w:val="28"/>
          <w:szCs w:val="28"/>
        </w:rPr>
        <w:t xml:space="preserve">Колтушское</w:t>
      </w:r>
      <w:r>
        <w:rPr>
          <w:rFonts w:ascii="Times New Roman" w:hAnsi="Times New Roman" w:cs="Times New Roman"/>
          <w:sz w:val="28"/>
          <w:szCs w:val="28"/>
        </w:rPr>
        <w:t xml:space="preserve"> ш., </w:t>
      </w:r>
      <w:r>
        <w:rPr>
          <w:rFonts w:ascii="Times New Roman" w:hAnsi="Times New Roman" w:cs="Times New Roman"/>
          <w:sz w:val="28"/>
          <w:szCs w:val="28"/>
        </w:rPr>
        <w:t xml:space="preserve">д. 138, актовый зал, состоялось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заседание антитеррористической комиссии Всеволожско</w:t>
      </w:r>
      <w:r>
        <w:rPr>
          <w:rFonts w:ascii="Times New Roman" w:hAnsi="Times New Roman" w:cs="Times New Roman"/>
          <w:sz w:val="28"/>
          <w:szCs w:val="28"/>
        </w:rPr>
        <w:t xml:space="preserve">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42" w:right="-1" w:firstLine="567"/>
        <w:jc w:val="both"/>
        <w:spacing w:after="0" w:line="240" w:lineRule="auto"/>
        <w:rPr>
          <w:rFonts w:ascii="Times New Roman" w:hAnsi="Times New Roman" w:cs="Times New Roman"/>
          <w:sz w:val="4"/>
          <w:szCs w:val="4"/>
          <w:highlight w:val="yellow"/>
        </w:rPr>
      </w:pPr>
      <w:r>
        <w:rPr>
          <w:rFonts w:ascii="Times New Roman" w:hAnsi="Times New Roman" w:cs="Times New Roman"/>
          <w:sz w:val="4"/>
          <w:szCs w:val="4"/>
          <w:highlight w:val="yellow"/>
        </w:rPr>
      </w:r>
      <w:r>
        <w:rPr>
          <w:rFonts w:ascii="Times New Roman" w:hAnsi="Times New Roman" w:cs="Times New Roman"/>
          <w:sz w:val="4"/>
          <w:szCs w:val="4"/>
          <w:highlight w:val="yellow"/>
        </w:rPr>
      </w:r>
    </w:p>
    <w:p>
      <w:pPr>
        <w:ind w:left="-426" w:right="-5" w:firstLine="709"/>
        <w:jc w:val="both"/>
        <w:spacing w:after="0" w:line="240" w:lineRule="auto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Заседание антитеррористической комиссии Всеволожского муниципального района Ленинградской области (далее - Комиссия) проводил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заместитель главы администрации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 безопасности и правопорядку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администрации Всеволожского муниципального района Ленинградской области 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заместитель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председател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антитеррористической комиссии Всеволожского муниципального района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Виктор Петрович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Агашкин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4"/>
          <w:szCs w:val="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4"/>
          <w:szCs w:val="4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4"/>
          <w:szCs w:val="4"/>
          <w:highlight w:val="yellow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Из 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членов Комиссии на заседании Комиссии присутствовал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26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член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Комиссии, что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составило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71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% явки. В заседании Комиссии, кроме членов Комиссии, приняли участие: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727"/>
        <w:numPr>
          <w:ilvl w:val="0"/>
          <w:numId w:val="16"/>
        </w:num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представители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Министерства внутренних дел Российской Федерации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начальник отдела уголовного розыска Управления Министерства внутренних дел России по Всеволожскому району Ленинградской области Главного Управления МВД Российской Федерации по городу Санкт-Петербургу и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Каньшин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А.Н.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заместитель начальника полиции по оперативной работе Санкт-Петербург-Финляндский линейного отдела Министерства внутренних дел Российской Федерации на транспорте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Потявин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В.В.),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начальник линейного отдела полиции на станции Санкт-Петербург-Ладожский Санкт-Петербургского линейного управле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ния Министерства внутренних дел Российской Федерации на транспорте (Малышев В.П.), старший инспектор линейного отдела полиции на станции Санкт-Петербург-Ладожский Санкт-Петербургского линейного управления Министерства внутренних дел Российской Федерации 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транспорте (Марченко Е.В.), инспектор отдела по вопросам миграции Управления Министерства внутренних дел России по Всеволожскому району Ленинградской области Главного Управления МВД Российской Федерации по городу Санкт-Петербургу и Ленинградской области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Мокеева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О.В.).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727"/>
        <w:numPr>
          <w:ilvl w:val="0"/>
          <w:numId w:val="16"/>
        </w:num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представители администрации Всеволожского муниципального района Ленинградской области: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начальник отдела жилищно-коммунального хозяйства города администрации Всеволожского муниципального района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Логвинов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С.М.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),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главный специалист сектора муниципальной безопасности администрации Всеволожского муниципального района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Смирнова Е.С.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727"/>
        <w:numPr>
          <w:ilvl w:val="0"/>
          <w:numId w:val="16"/>
        </w:num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редставители администрации городских и сельских поселений Всеволожского муниципального района Ленинградской области: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заместитель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директора МКУ «Охрана общественного порядка» администрации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Бугровского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городского поселения Всеволожского муниципального района Ленинградской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Виноградов А.А.).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Всем участникам заседания Комиссии в качестве раздаточного материала вручены: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8"/>
          <w:szCs w:val="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8"/>
          <w:szCs w:val="8"/>
          <w:lang w:eastAsia="ru-RU"/>
        </w:rPr>
      </w:r>
      <w:r>
        <w:rPr>
          <w:rFonts w:ascii="Times New Roman" w:hAnsi="Times New Roman" w:eastAsia="Batang" w:cs="Times New Roman"/>
          <w:color w:val="000000"/>
          <w:sz w:val="8"/>
          <w:szCs w:val="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Примерный Регламент проведения заседания Комиссии.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2.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Список участников заседания Комиссии.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3.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Состав Комиссии (Приложение №1).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4.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Проект Решения Комиссии (Приложение №2).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r>
    </w:p>
    <w:p>
      <w:pPr>
        <w:ind w:left="-426"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16"/>
          <w:szCs w:val="16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highlight w:val="yellow"/>
          <w:lang w:eastAsia="ru-RU"/>
        </w:rPr>
      </w:r>
    </w:p>
    <w:p>
      <w:pPr>
        <w:ind w:left="-426" w:right="-5" w:firstLine="852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Председательствующий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В.П.Агашкин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приветственным словом открыл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заседание Комиссии и ознакомил членов Комиссии и ее участников с 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овесткой дня заседания Комиссии.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Регламент проведения заседания Комиссии был утвержден единогласно.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-5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-426" w:right="-5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ПОВЕСТКА ДНЯ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16"/>
          <w:szCs w:val="16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highlight w:val="yellow"/>
          <w:lang w:eastAsia="ru-RU"/>
        </w:rPr>
      </w:r>
    </w:p>
    <w:tbl>
      <w:tblPr>
        <w:tblW w:w="9791" w:type="dxa"/>
        <w:tblInd w:w="-428" w:type="dxa"/>
        <w:tblLayout w:type="fixed"/>
        <w:tblLook w:val="04A0" w:firstRow="1" w:lastRow="0" w:firstColumn="1" w:lastColumn="0" w:noHBand="0" w:noVBand="1"/>
      </w:tblPr>
      <w:tblGrid>
        <w:gridCol w:w="9791"/>
      </w:tblGrid>
      <w:tr>
        <w:tblPrEx/>
        <w:trPr>
          <w:trHeight w:val="1735"/>
        </w:trPr>
        <w:tc>
          <w:tcPr>
            <w:shd w:val="clear" w:color="auto" w:fill="auto"/>
            <w:tcW w:w="9791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ind w:left="-79" w:right="-5" w:firstLine="426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«О готовности образовательных учреждений к новому 2026-2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027 учебному году. О проблемах в обеспечении безопасности и антитеррористической защищенности образовательных учреждений Всеволожского района, выявленных в ходе проведения мониторинга готовности образовательных учреждений к новому 2026-2027 учебному году».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ind w:left="347" w:right="-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r>
          </w:p>
        </w:tc>
      </w:tr>
      <w:tr>
        <w:tblPrEx/>
        <w:trPr>
          <w:trHeight w:val="2074"/>
        </w:trPr>
        <w:tc>
          <w:tcPr>
            <w:shd w:val="clear" w:color="auto" w:fill="auto"/>
            <w:tcW w:w="9791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ind w:left="0" w:right="-5" w:firstLine="347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«О результатах проведенных мероприятий, направленных на профилактику незаконного оборота оружия, боеприпасов и взрывчатых веществ на территори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и Всеволожского района Ленинградской области, в том числе деятельности местных жителей, занимающихся незаконными раскопками и реставрацией оружия и боеприпасов времен ВОВ, которое в дальнейшем может быть использовано для совершения террористических актов».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ind w:left="347" w:right="-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r>
          </w:p>
        </w:tc>
      </w:tr>
      <w:tr>
        <w:tblPrEx/>
        <w:trPr>
          <w:trHeight w:val="1090"/>
        </w:trPr>
        <w:tc>
          <w:tcPr>
            <w:shd w:val="clear" w:color="auto" w:fill="auto"/>
            <w:tcW w:w="9791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ind w:left="0" w:right="-5" w:firstLine="347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«Об основных результатах работы антитеррористической группы администрации муниципального образования 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Муринское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поселение» Всеволожского муниципального района Ленинградской области».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ind w:left="347" w:right="-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r>
          </w:p>
        </w:tc>
      </w:tr>
      <w:tr>
        <w:tblPrEx/>
        <w:trPr>
          <w:trHeight w:val="752"/>
        </w:trPr>
        <w:tc>
          <w:tcPr>
            <w:shd w:val="clear" w:color="auto" w:fill="auto"/>
            <w:tcW w:w="9791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ind w:left="-79" w:right="-5" w:firstLine="426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«О неисполнении протокольных решений Комиссии и причинах их неисполнений».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ind w:left="347" w:right="-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r>
          </w:p>
        </w:tc>
      </w:tr>
      <w:tr>
        <w:tblPrEx/>
        <w:trPr>
          <w:trHeight w:val="1075"/>
        </w:trPr>
        <w:tc>
          <w:tcPr>
            <w:shd w:val="clear" w:color="auto" w:fill="auto"/>
            <w:tcW w:w="9791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ind w:left="-79" w:right="-5" w:firstLine="426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«О проведенных мероприятиях, направленных на противодействие вовлечению подростков в преступную и диверсионно-террористическую деятельность на объектах железнодорожного транспорта».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ind w:left="347" w:right="-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  <w:lang w:eastAsia="ru-RU"/>
              </w:rPr>
            </w:r>
          </w:p>
        </w:tc>
      </w:tr>
      <w:tr>
        <w:tblPrEx/>
        <w:trPr>
          <w:trHeight w:val="1981"/>
        </w:trPr>
        <w:tc>
          <w:tcPr>
            <w:shd w:val="clear" w:color="auto" w:fill="auto"/>
            <w:tcW w:w="9791" w:type="dxa"/>
            <w:textDirection w:val="lrTb"/>
            <w:noWrap w:val="false"/>
          </w:tcPr>
          <w:p>
            <w:pPr>
              <w:numPr>
                <w:ilvl w:val="0"/>
                <w:numId w:val="22"/>
              </w:numPr>
              <w:ind w:left="-79" w:right="-5" w:firstLine="426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«О принятых мерах по противодействию нелегальной миграции, как одного из основных факторов, влияющих на состояние оперативной обстановки в сфере противодействия терроризму на территории Всеволожского муниципального района Ленинградской области».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ind w:left="347" w:right="-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ind w:right="-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</w:tbl>
    <w:p>
      <w:pPr>
        <w:ind w:left="318"/>
        <w:jc w:val="right"/>
        <w:spacing w:after="0" w:line="240" w:lineRule="auto"/>
        <w:rPr>
          <w:rFonts w:ascii="Times New Roman" w:hAnsi="Times New Roman" w:eastAsia="Batang" w:cs="Times New Roman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sz w:val="28"/>
          <w:szCs w:val="28"/>
          <w:lang w:eastAsia="ru-RU"/>
        </w:rPr>
      </w:r>
      <w:r>
        <w:rPr>
          <w:rFonts w:ascii="Times New Roman" w:hAnsi="Times New Roman" w:eastAsia="Batang" w:cs="Times New Roman"/>
          <w:sz w:val="28"/>
          <w:szCs w:val="28"/>
          <w:lang w:eastAsia="ru-RU"/>
        </w:rPr>
      </w:r>
    </w:p>
    <w:p>
      <w:pPr>
        <w:ind w:left="318"/>
        <w:spacing w:after="0" w:line="240" w:lineRule="auto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contextualSpacing/>
        <w:ind w:right="34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sectPr>
      <w:footerReference w:type="default" r:id="rId9"/>
      <w:footnotePr/>
      <w:endnotePr/>
      <w:type w:val="nextPage"/>
      <w:pgSz w:w="11906" w:h="16838" w:orient="portrait"/>
      <w:pgMar w:top="851" w:right="851" w:bottom="56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tang">
    <w:panose1 w:val="02000506000000020000"/>
  </w:font>
  <w:font w:name="Calibri">
    <w:panose1 w:val="020F0502020204030204"/>
  </w:font>
  <w:font w:name="Wingdings">
    <w:panose1 w:val="05010000000000000000"/>
  </w:font>
  <w:font w:name="Symbol">
    <w:panose1 w:val="05010000000000000000"/>
  </w:font>
  <w:font w:name="XO Thames">
    <w:panose1 w:val="02020603050405020304"/>
  </w:font>
  <w:font w:name="Segoe UI">
    <w:panose1 w:val="020B050204050402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3"/>
      <w:ind w:left="-426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  <w:r>
      <w:rPr>
        <w:rFonts w:ascii="Times New Roman" w:hAnsi="Times New Roman"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9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6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3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0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8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5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2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9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2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9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6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3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8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5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2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6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8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0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2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4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6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8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0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23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3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5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7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9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1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3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5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7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9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34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3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0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01" w:hanging="36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1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3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6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9"/>
  </w:num>
  <w:num w:numId="5">
    <w:abstractNumId w:val="17"/>
  </w:num>
  <w:num w:numId="6">
    <w:abstractNumId w:val="20"/>
  </w:num>
  <w:num w:numId="7">
    <w:abstractNumId w:val="15"/>
  </w:num>
  <w:num w:numId="8">
    <w:abstractNumId w:val="11"/>
  </w:num>
  <w:num w:numId="9">
    <w:abstractNumId w:val="21"/>
  </w:num>
  <w:num w:numId="10">
    <w:abstractNumId w:val="14"/>
  </w:num>
  <w:num w:numId="11">
    <w:abstractNumId w:val="4"/>
  </w:num>
  <w:num w:numId="12">
    <w:abstractNumId w:val="7"/>
  </w:num>
  <w:num w:numId="13">
    <w:abstractNumId w:val="10"/>
  </w:num>
  <w:num w:numId="14">
    <w:abstractNumId w:val="12"/>
  </w:num>
  <w:num w:numId="15">
    <w:abstractNumId w:val="18"/>
  </w:num>
  <w:num w:numId="16">
    <w:abstractNumId w:val="13"/>
  </w:num>
  <w:num w:numId="17">
    <w:abstractNumId w:val="16"/>
  </w:num>
  <w:num w:numId="18">
    <w:abstractNumId w:val="19"/>
  </w:num>
  <w:num w:numId="19">
    <w:abstractNumId w:val="0"/>
  </w:num>
  <w:num w:numId="20">
    <w:abstractNumId w:val="3"/>
  </w:num>
  <w:num w:numId="21">
    <w:abstractNumId w:val="2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09"/>
    <w:link w:val="70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07"/>
    <w:next w:val="70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0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07"/>
    <w:next w:val="70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0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07"/>
    <w:next w:val="70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0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07"/>
    <w:next w:val="70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0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07"/>
    <w:next w:val="70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0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07"/>
    <w:next w:val="70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0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07"/>
    <w:next w:val="70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0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07"/>
    <w:next w:val="70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0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07"/>
    <w:next w:val="70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09"/>
    <w:link w:val="34"/>
    <w:uiPriority w:val="10"/>
    <w:rPr>
      <w:sz w:val="48"/>
      <w:szCs w:val="48"/>
    </w:rPr>
  </w:style>
  <w:style w:type="paragraph" w:styleId="36">
    <w:name w:val="Subtitle"/>
    <w:basedOn w:val="707"/>
    <w:next w:val="70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09"/>
    <w:link w:val="36"/>
    <w:uiPriority w:val="11"/>
    <w:rPr>
      <w:sz w:val="24"/>
      <w:szCs w:val="24"/>
    </w:rPr>
  </w:style>
  <w:style w:type="paragraph" w:styleId="38">
    <w:name w:val="Quote"/>
    <w:basedOn w:val="707"/>
    <w:next w:val="70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07"/>
    <w:next w:val="70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09"/>
    <w:link w:val="722"/>
    <w:uiPriority w:val="99"/>
  </w:style>
  <w:style w:type="character" w:styleId="45">
    <w:name w:val="Footer Char"/>
    <w:basedOn w:val="709"/>
    <w:link w:val="724"/>
    <w:uiPriority w:val="99"/>
  </w:style>
  <w:style w:type="paragraph" w:styleId="46">
    <w:name w:val="Caption"/>
    <w:basedOn w:val="707"/>
    <w:next w:val="70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0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1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0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09"/>
    <w:uiPriority w:val="99"/>
    <w:unhideWhenUsed/>
    <w:rPr>
      <w:vertAlign w:val="superscript"/>
    </w:rPr>
  </w:style>
  <w:style w:type="character" w:styleId="179">
    <w:name w:val="Endnote Text Char"/>
    <w:link w:val="731"/>
    <w:uiPriority w:val="99"/>
    <w:rPr>
      <w:sz w:val="20"/>
    </w:rPr>
  </w:style>
  <w:style w:type="paragraph" w:styleId="181">
    <w:name w:val="toc 1"/>
    <w:basedOn w:val="707"/>
    <w:next w:val="70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07"/>
    <w:next w:val="70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07"/>
    <w:next w:val="70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07"/>
    <w:next w:val="70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07"/>
    <w:next w:val="70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07"/>
    <w:next w:val="70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07"/>
    <w:next w:val="70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07"/>
    <w:next w:val="70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07"/>
    <w:next w:val="70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07"/>
    <w:next w:val="707"/>
    <w:uiPriority w:val="99"/>
    <w:unhideWhenUsed/>
    <w:pPr>
      <w:spacing w:after="0" w:afterAutospacing="0"/>
    </w:pPr>
  </w:style>
  <w:style w:type="paragraph" w:styleId="707" w:default="1">
    <w:name w:val="Normal"/>
    <w:qFormat/>
    <w:pPr>
      <w:spacing w:after="200" w:line="276" w:lineRule="auto"/>
    </w:pPr>
  </w:style>
  <w:style w:type="paragraph" w:styleId="708">
    <w:name w:val="Heading 1"/>
    <w:basedOn w:val="707"/>
    <w:next w:val="707"/>
    <w:link w:val="72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09" w:default="1">
    <w:name w:val="Default Paragraph Font"/>
    <w:uiPriority w:val="1"/>
    <w:semiHidden/>
    <w:unhideWhenUsed/>
  </w:style>
  <w:style w:type="table" w:styleId="71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1" w:default="1">
    <w:name w:val="No List"/>
    <w:uiPriority w:val="99"/>
    <w:semiHidden/>
    <w:unhideWhenUsed/>
  </w:style>
  <w:style w:type="table" w:styleId="712">
    <w:name w:val="Table Grid"/>
    <w:basedOn w:val="71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13">
    <w:name w:val="No Spacing"/>
    <w:uiPriority w:val="1"/>
    <w:qFormat/>
    <w:pPr>
      <w:spacing w:after="0" w:line="240" w:lineRule="auto"/>
    </w:pPr>
  </w:style>
  <w:style w:type="paragraph" w:styleId="714">
    <w:name w:val="Plain Text"/>
    <w:basedOn w:val="707"/>
    <w:link w:val="715"/>
    <w:pPr>
      <w:ind w:firstLine="709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715" w:customStyle="1">
    <w:name w:val="Текст Знак"/>
    <w:basedOn w:val="709"/>
    <w:link w:val="714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716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17">
    <w:name w:val="Balloon Text"/>
    <w:basedOn w:val="707"/>
    <w:link w:val="71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18" w:customStyle="1">
    <w:name w:val="Текст выноски Знак"/>
    <w:basedOn w:val="709"/>
    <w:link w:val="717"/>
    <w:uiPriority w:val="99"/>
    <w:semiHidden/>
    <w:rPr>
      <w:rFonts w:ascii="Segoe UI" w:hAnsi="Segoe UI" w:cs="Segoe UI"/>
      <w:sz w:val="18"/>
      <w:szCs w:val="18"/>
    </w:rPr>
  </w:style>
  <w:style w:type="paragraph" w:styleId="719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720">
    <w:name w:val="Hyperlink"/>
    <w:basedOn w:val="709"/>
    <w:uiPriority w:val="99"/>
    <w:unhideWhenUsed/>
    <w:rPr>
      <w:color w:val="0563c1" w:themeColor="hyperlink"/>
      <w:u w:val="single"/>
    </w:rPr>
  </w:style>
  <w:style w:type="character" w:styleId="721" w:customStyle="1">
    <w:name w:val="Заголовок 1 Знак"/>
    <w:basedOn w:val="709"/>
    <w:link w:val="70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22">
    <w:name w:val="Header"/>
    <w:basedOn w:val="707"/>
    <w:link w:val="72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3" w:customStyle="1">
    <w:name w:val="Верхний колонтитул Знак"/>
    <w:basedOn w:val="709"/>
    <w:link w:val="722"/>
    <w:uiPriority w:val="99"/>
  </w:style>
  <w:style w:type="paragraph" w:styleId="724">
    <w:name w:val="Footer"/>
    <w:basedOn w:val="707"/>
    <w:link w:val="72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5" w:customStyle="1">
    <w:name w:val="Нижний колонтитул Знак"/>
    <w:basedOn w:val="709"/>
    <w:link w:val="724"/>
    <w:uiPriority w:val="99"/>
  </w:style>
  <w:style w:type="table" w:styleId="726" w:customStyle="1">
    <w:name w:val="Сетка таблицы1"/>
    <w:basedOn w:val="710"/>
    <w:next w:val="712"/>
    <w:uiPriority w:val="39"/>
    <w:pPr>
      <w:jc w:val="both"/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7">
    <w:name w:val="List Paragraph"/>
    <w:basedOn w:val="707"/>
    <w:uiPriority w:val="34"/>
    <w:qFormat/>
    <w:pPr>
      <w:contextualSpacing/>
      <w:ind w:left="720"/>
    </w:pPr>
  </w:style>
  <w:style w:type="paragraph" w:styleId="728">
    <w:name w:val="Normal (Web)"/>
    <w:basedOn w:val="707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character" w:styleId="729" w:customStyle="1">
    <w:name w:val="Основной текст (2)_"/>
    <w:basedOn w:val="709"/>
    <w:link w:val="730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730" w:customStyle="1">
    <w:name w:val="Основной текст (2)"/>
    <w:basedOn w:val="707"/>
    <w:link w:val="729"/>
    <w:pPr>
      <w:jc w:val="right"/>
      <w:spacing w:after="0" w:line="326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paragraph" w:styleId="731">
    <w:name w:val="endnote text"/>
    <w:basedOn w:val="707"/>
    <w:link w:val="73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732" w:customStyle="1">
    <w:name w:val="Текст концевой сноски Знак"/>
    <w:basedOn w:val="709"/>
    <w:link w:val="731"/>
    <w:uiPriority w:val="99"/>
    <w:semiHidden/>
    <w:rPr>
      <w:sz w:val="20"/>
      <w:szCs w:val="20"/>
    </w:rPr>
  </w:style>
  <w:style w:type="character" w:styleId="733">
    <w:name w:val="endnote reference"/>
    <w:basedOn w:val="709"/>
    <w:uiPriority w:val="99"/>
    <w:semiHidden/>
    <w:unhideWhenUsed/>
    <w:rPr>
      <w:vertAlign w:val="superscript"/>
    </w:rPr>
  </w:style>
  <w:style w:type="character" w:styleId="734">
    <w:name w:val="Emphasis"/>
    <w:basedOn w:val="709"/>
    <w:uiPriority w:val="20"/>
    <w:qFormat/>
    <w:rPr>
      <w:i/>
      <w:iCs/>
    </w:rPr>
  </w:style>
  <w:style w:type="paragraph" w:styleId="735" w:customStyle="1">
    <w:name w:val="Standard"/>
    <w:pPr>
      <w:jc w:val="both"/>
      <w:spacing w:after="0" w:line="240" w:lineRule="auto"/>
      <w:widowControl w:val="off"/>
    </w:pPr>
    <w:rPr>
      <w:rFonts w:ascii="XO Thames" w:hAnsi="XO Thames" w:eastAsia="XO Thames" w:cs="XO Thames"/>
      <w:color w:val="000000"/>
      <w:sz w:val="28"/>
      <w:szCs w:val="2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6D0B3-8D02-45C8-AC31-CCBB29330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Прохоренкова</dc:creator>
  <cp:keywords/>
  <dc:description/>
  <cp:lastModifiedBy>inf6</cp:lastModifiedBy>
  <cp:revision>12</cp:revision>
  <dcterms:created xsi:type="dcterms:W3CDTF">2026-09-30T14:54:00Z</dcterms:created>
  <dcterms:modified xsi:type="dcterms:W3CDTF">2026-10-01T12:08:01Z</dcterms:modified>
</cp:coreProperties>
</file>